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79" w:rsidRPr="00AB3BD3" w:rsidRDefault="00A02C79" w:rsidP="00A02C79">
      <w:hyperlink r:id="rId5" w:history="1">
        <w:r w:rsidRPr="006F05BA">
          <w:rPr>
            <w:rStyle w:val="Hyperlink"/>
          </w:rPr>
          <w:t>https://www.energia.ru/ru/news/news-2015/news_07-31_1.html</w:t>
        </w:r>
      </w:hyperlink>
    </w:p>
    <w:p w:rsidR="00A02C79" w:rsidRDefault="00A02C79" w:rsidP="00A02C79">
      <w:pPr>
        <w:pStyle w:val="Heading4"/>
      </w:pPr>
      <w:r>
        <w:t>ОАО "РКК "Энергия"</w:t>
      </w:r>
    </w:p>
    <w:p w:rsidR="00A02C79" w:rsidRDefault="00A02C79" w:rsidP="00A02C79">
      <w:pPr>
        <w:pStyle w:val="Heading4"/>
      </w:pPr>
      <w:bookmarkStart w:id="0" w:name="_GoBack"/>
      <w:r>
        <w:t>Изменение №1 к проектной декларации от 14 мая 2015</w:t>
      </w:r>
      <w:bookmarkEnd w:id="0"/>
      <w:r>
        <w:t>г</w:t>
      </w:r>
      <w:r>
        <w:br/>
        <w:t>строительства многоэтажного жилого дома №1а (строительный) с встроенным детским образовательным учреждением (ДОУ) на первом этаже в жилом квартале по адресу: Московская область, г. Королев, ул. Пионерская, дом 30.</w:t>
      </w:r>
    </w:p>
    <w:p w:rsidR="00A02C79" w:rsidRDefault="00A02C79" w:rsidP="00A02C79">
      <w:pPr>
        <w:pStyle w:val="NormalWeb"/>
      </w:pPr>
      <w:r>
        <w:t>г. Королев Московской обл.</w:t>
      </w:r>
      <w:r>
        <w:br/>
        <w:t>31 июля две тысячи пятнадцатого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A02C79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02C79" w:rsidRDefault="00A02C79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A02C79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A02C79" w:rsidRDefault="00A02C79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A02C79" w:rsidRDefault="00A02C79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A02C79" w:rsidRDefault="00A02C79" w:rsidP="00A5531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A02C79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02C79" w:rsidRDefault="00A02C79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A02C79" w:rsidRDefault="00A02C79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A02C79" w:rsidRDefault="00A02C79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1 полугодие 2015г. - 220 860 тыс. рублей.</w:t>
            </w:r>
            <w:r>
              <w:br/>
              <w:t>2. Дебиторская задолженность на 30.06.2015г. - 37 636 546 тыс. рублей.</w:t>
            </w:r>
            <w:r>
              <w:br/>
              <w:t>3. Кредиторская задолженность на 30.06.2015г. - 69 305 171 тыс. рублей.</w:t>
            </w:r>
          </w:p>
        </w:tc>
      </w:tr>
    </w:tbl>
    <w:p w:rsidR="00A02C79" w:rsidRDefault="00A02C79" w:rsidP="00A02C79">
      <w:pPr>
        <w:pStyle w:val="NormalWeb"/>
      </w:pPr>
      <w:r>
        <w:t> </w:t>
      </w:r>
    </w:p>
    <w:p w:rsidR="00A02C79" w:rsidRDefault="00A02C79" w:rsidP="00A02C79">
      <w:r>
        <w:t>А.Г. Гогиберидзе</w:t>
      </w:r>
    </w:p>
    <w:p w:rsidR="00A02C79" w:rsidRDefault="00A02C79" w:rsidP="00A02C79">
      <w:pPr>
        <w:pStyle w:val="NormalWeb"/>
      </w:pPr>
      <w:r>
        <w:t xml:space="preserve">И.О. начальника Управления по капитальному </w:t>
      </w:r>
      <w:r>
        <w:br/>
        <w:t>строительству, ремонту и реконструкции</w:t>
      </w:r>
    </w:p>
    <w:p w:rsidR="00B0412A" w:rsidRDefault="00B0412A"/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01"/>
    <w:rsid w:val="00892C01"/>
    <w:rsid w:val="00A02C79"/>
    <w:rsid w:val="00B0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C79"/>
  </w:style>
  <w:style w:type="paragraph" w:styleId="Heading4">
    <w:name w:val="heading 4"/>
    <w:basedOn w:val="Normal"/>
    <w:link w:val="Heading4Char"/>
    <w:uiPriority w:val="9"/>
    <w:qFormat/>
    <w:rsid w:val="00A02C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02C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A02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02C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C79"/>
  </w:style>
  <w:style w:type="paragraph" w:styleId="Heading4">
    <w:name w:val="heading 4"/>
    <w:basedOn w:val="Normal"/>
    <w:link w:val="Heading4Char"/>
    <w:uiPriority w:val="9"/>
    <w:qFormat/>
    <w:rsid w:val="00A02C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02C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A02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02C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5/news_07-31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Company>WWL Corp.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2018-03-27T09:29:00Z</dcterms:created>
  <dcterms:modified xsi:type="dcterms:W3CDTF">2018-03-27T09:29:00Z</dcterms:modified>
</cp:coreProperties>
</file>